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1B" w:rsidRPr="006B231B" w:rsidRDefault="00CB0783" w:rsidP="006B23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31B">
        <w:rPr>
          <w:rFonts w:ascii="Times New Roman" w:hAnsi="Times New Roman" w:cs="Times New Roman"/>
          <w:b/>
          <w:sz w:val="24"/>
          <w:szCs w:val="24"/>
        </w:rPr>
        <w:t>CHAPTER</w:t>
      </w:r>
      <w:r w:rsidR="006B231B" w:rsidRPr="006B2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b/>
          <w:sz w:val="24"/>
          <w:szCs w:val="24"/>
        </w:rPr>
        <w:t>XV</w:t>
      </w:r>
    </w:p>
    <w:p w:rsidR="006B231B" w:rsidRPr="006B231B" w:rsidRDefault="00CB0783" w:rsidP="006B23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31B">
        <w:rPr>
          <w:rFonts w:ascii="Times New Roman" w:hAnsi="Times New Roman" w:cs="Times New Roman"/>
          <w:b/>
          <w:sz w:val="24"/>
          <w:szCs w:val="24"/>
        </w:rPr>
        <w:t>DISPUTES</w:t>
      </w:r>
    </w:p>
    <w:p w:rsidR="006B231B" w:rsidRPr="006B231B" w:rsidRDefault="00CB0783" w:rsidP="006B23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31B">
        <w:rPr>
          <w:rFonts w:ascii="Times New Roman" w:hAnsi="Times New Roman" w:cs="Times New Roman"/>
          <w:b/>
          <w:sz w:val="24"/>
          <w:szCs w:val="24"/>
        </w:rPr>
        <w:t>ARTICLE</w:t>
      </w:r>
      <w:r w:rsidR="00D2643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6B231B">
        <w:rPr>
          <w:rFonts w:ascii="Times New Roman" w:hAnsi="Times New Roman" w:cs="Times New Roman"/>
          <w:b/>
          <w:sz w:val="24"/>
          <w:szCs w:val="24"/>
        </w:rPr>
        <w:t>76</w:t>
      </w:r>
    </w:p>
    <w:p w:rsidR="006B231B" w:rsidRPr="006B231B" w:rsidRDefault="00CB0783" w:rsidP="006B23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31B">
        <w:rPr>
          <w:rFonts w:ascii="Times New Roman" w:hAnsi="Times New Roman" w:cs="Times New Roman"/>
          <w:b/>
          <w:sz w:val="24"/>
          <w:szCs w:val="24"/>
        </w:rPr>
        <w:t>SETTLEMENT</w:t>
      </w:r>
      <w:r w:rsidR="006B231B" w:rsidRPr="006B2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b/>
          <w:sz w:val="24"/>
          <w:szCs w:val="24"/>
        </w:rPr>
        <w:t>OF</w:t>
      </w:r>
      <w:r w:rsidR="006B231B" w:rsidRPr="006B2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b/>
          <w:sz w:val="24"/>
          <w:szCs w:val="24"/>
        </w:rPr>
        <w:t>DISPUTES</w:t>
      </w:r>
    </w:p>
    <w:p w:rsidR="006B231B" w:rsidRPr="006B231B" w:rsidRDefault="00CB0783" w:rsidP="006B231B">
      <w:pPr>
        <w:jc w:val="center"/>
        <w:rPr>
          <w:rFonts w:ascii="Times New Roman" w:hAnsi="Times New Roman" w:cs="Times New Roman"/>
          <w:sz w:val="24"/>
          <w:szCs w:val="24"/>
        </w:rPr>
      </w:pPr>
      <w:r w:rsidRPr="006B231B">
        <w:rPr>
          <w:rFonts w:ascii="Times New Roman" w:hAnsi="Times New Roman" w:cs="Times New Roman"/>
          <w:sz w:val="24"/>
          <w:szCs w:val="24"/>
        </w:rPr>
        <w:t>1.Any dispute regarding the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interpretation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or-the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application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of the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provisions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of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this Treaty shall be amicably settled through direct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agreement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without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prejudice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to the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provisions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of this Treaty and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relevant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Protocols.</w:t>
      </w:r>
    </w:p>
    <w:p w:rsidR="008F5C04" w:rsidRPr="006B231B" w:rsidRDefault="00CB0783" w:rsidP="006B231B">
      <w:pPr>
        <w:jc w:val="center"/>
        <w:rPr>
          <w:rFonts w:ascii="Times New Roman" w:hAnsi="Times New Roman" w:cs="Times New Roman"/>
          <w:sz w:val="24"/>
          <w:szCs w:val="24"/>
        </w:rPr>
      </w:pPr>
      <w:r w:rsidRPr="006B231B">
        <w:rPr>
          <w:rFonts w:ascii="Times New Roman" w:hAnsi="Times New Roman" w:cs="Times New Roman"/>
          <w:sz w:val="24"/>
          <w:szCs w:val="24"/>
        </w:rPr>
        <w:t>2.Failing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this,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either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party or any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other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Member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States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or the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Authority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may refer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the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matter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to the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Court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of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the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Community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whose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decision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shall be final and shall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not be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subject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to</w:t>
      </w:r>
      <w:r w:rsidR="006B231B" w:rsidRPr="006B231B">
        <w:rPr>
          <w:rFonts w:ascii="Times New Roman" w:hAnsi="Times New Roman" w:cs="Times New Roman"/>
          <w:sz w:val="24"/>
          <w:szCs w:val="24"/>
        </w:rPr>
        <w:t xml:space="preserve"> </w:t>
      </w:r>
      <w:r w:rsidRPr="006B231B">
        <w:rPr>
          <w:rFonts w:ascii="Times New Roman" w:hAnsi="Times New Roman" w:cs="Times New Roman"/>
          <w:sz w:val="24"/>
          <w:szCs w:val="24"/>
        </w:rPr>
        <w:t>appeal.</w:t>
      </w:r>
    </w:p>
    <w:sectPr w:rsidR="008F5C04" w:rsidRPr="006B2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83"/>
    <w:rsid w:val="006B231B"/>
    <w:rsid w:val="008F5C04"/>
    <w:rsid w:val="00CB0783"/>
    <w:rsid w:val="00D2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A8E90"/>
  <w15:chartTrackingRefBased/>
  <w15:docId w15:val="{85FC6B2D-2AC3-4ECA-9EFE-21D05C03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2020-08-03T20:09:00Z</dcterms:created>
  <dcterms:modified xsi:type="dcterms:W3CDTF">2020-08-04T16:13:00Z</dcterms:modified>
</cp:coreProperties>
</file>